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2265" w:rsidRPr="00492265" w:rsidRDefault="00492265" w:rsidP="00492265">
      <w:pPr>
        <w:jc w:val="center"/>
        <w:rPr>
          <w:rFonts w:asciiTheme="majorHAnsi" w:eastAsiaTheme="majorEastAsia" w:hAnsiTheme="majorHAnsi" w:cstheme="majorBidi"/>
          <w:color w:val="2F5496" w:themeColor="accent1" w:themeShade="BF"/>
          <w:sz w:val="32"/>
          <w:szCs w:val="32"/>
        </w:rPr>
      </w:pPr>
      <w:r w:rsidRPr="00492265">
        <w:rPr>
          <w:rFonts w:asciiTheme="majorHAnsi" w:eastAsiaTheme="majorEastAsia" w:hAnsiTheme="majorHAnsi" w:cstheme="majorBidi"/>
          <w:color w:val="2F5496" w:themeColor="accent1" w:themeShade="BF"/>
          <w:sz w:val="32"/>
          <w:szCs w:val="32"/>
        </w:rPr>
        <w:t>Commonwealth Fraud and Corruption Control Framework 2024</w:t>
      </w:r>
    </w:p>
    <w:p w:rsidR="00492265" w:rsidRPr="00492265" w:rsidRDefault="00492265" w:rsidP="00492265">
      <w:pPr>
        <w:jc w:val="center"/>
        <w:rPr>
          <w:rFonts w:asciiTheme="majorHAnsi" w:eastAsiaTheme="majorEastAsia" w:hAnsiTheme="majorHAnsi" w:cstheme="majorBidi"/>
          <w:color w:val="2F5496" w:themeColor="accent1" w:themeShade="BF"/>
          <w:sz w:val="32"/>
          <w:szCs w:val="32"/>
        </w:rPr>
      </w:pPr>
      <w:r w:rsidRPr="00492265">
        <w:rPr>
          <w:rFonts w:asciiTheme="majorHAnsi" w:eastAsiaTheme="majorEastAsia" w:hAnsiTheme="majorHAnsi" w:cstheme="majorBidi"/>
          <w:color w:val="2F5496" w:themeColor="accent1" w:themeShade="BF"/>
          <w:sz w:val="32"/>
          <w:szCs w:val="32"/>
        </w:rPr>
        <w:t>Example Implementation Roadmap</w:t>
      </w:r>
    </w:p>
    <w:p w:rsidR="00492265" w:rsidRPr="0081048D" w:rsidRDefault="00492265" w:rsidP="00492265">
      <w:pPr>
        <w:pStyle w:val="Heading1"/>
        <w:jc w:val="center"/>
        <w:rPr>
          <w:lang w:val="en-GB" w:eastAsia="en-AU"/>
        </w:rPr>
      </w:pPr>
      <w:r w:rsidRPr="00BC391E">
        <w:rPr>
          <w:rFonts w:cstheme="majorHAnsi"/>
          <w:color w:val="404148"/>
        </w:rPr>
        <w:t>(</w:t>
      </w:r>
      <w:r w:rsidRPr="00EA7AAF">
        <w:rPr>
          <w:rFonts w:cstheme="majorHAnsi"/>
          <w:color w:val="404148"/>
        </w:rPr>
        <w:t>Accessible</w:t>
      </w:r>
      <w:r w:rsidRPr="00BC391E">
        <w:rPr>
          <w:rFonts w:cstheme="majorHAnsi"/>
          <w:color w:val="404148"/>
        </w:rPr>
        <w:t xml:space="preserve"> Version</w:t>
      </w:r>
      <w:r>
        <w:rPr>
          <w:rFonts w:cstheme="majorHAnsi"/>
          <w:color w:val="404148"/>
        </w:rPr>
        <w:t>)</w:t>
      </w:r>
    </w:p>
    <w:p w:rsidR="00B81642" w:rsidRDefault="00A07204"/>
    <w:p w:rsidR="00492265" w:rsidRPr="00492265" w:rsidRDefault="00492265" w:rsidP="00492265">
      <w:pPr>
        <w:pStyle w:val="Heading2"/>
        <w:spacing w:after="240"/>
      </w:pPr>
      <w:r>
        <w:t xml:space="preserve">Step 1: </w:t>
      </w:r>
      <w:r w:rsidRPr="00492265">
        <w:t xml:space="preserve">Read and understand the new framework </w:t>
      </w:r>
    </w:p>
    <w:p w:rsidR="00492265" w:rsidRPr="00492265" w:rsidRDefault="00492265" w:rsidP="00492265">
      <w:r w:rsidRPr="00492265">
        <w:t>The framework includes new requirements that may change the way your entity</w:t>
      </w:r>
      <w:r>
        <w:t xml:space="preserve"> </w:t>
      </w:r>
      <w:r w:rsidRPr="00492265">
        <w:t>manages fraud and corruption.</w:t>
      </w:r>
    </w:p>
    <w:p w:rsidR="00492265" w:rsidRDefault="00492265" w:rsidP="00492265">
      <w:r w:rsidRPr="00492265">
        <w:t xml:space="preserve">Reading the framework and associated information sheets developed by </w:t>
      </w:r>
      <w:r>
        <w:t>the Attorney-General’s Department (</w:t>
      </w:r>
      <w:r w:rsidRPr="00492265">
        <w:t>AGD</w:t>
      </w:r>
      <w:r>
        <w:t>)</w:t>
      </w:r>
      <w:r w:rsidRPr="00492265">
        <w:t xml:space="preserve"> is your first step to understanding how to implement it.</w:t>
      </w:r>
    </w:p>
    <w:p w:rsidR="00492265" w:rsidRPr="00492265" w:rsidRDefault="00492265" w:rsidP="00492265">
      <w:pPr>
        <w:pStyle w:val="Heading2"/>
        <w:spacing w:after="240"/>
      </w:pPr>
      <w:r>
        <w:t xml:space="preserve">Step 2: </w:t>
      </w:r>
      <w:r w:rsidRPr="00492265">
        <w:t>Establish governance arrangements</w:t>
      </w:r>
    </w:p>
    <w:p w:rsidR="00492265" w:rsidRPr="00492265" w:rsidRDefault="00492265" w:rsidP="00492265">
      <w:r w:rsidRPr="00492265">
        <w:t>Establish governance structures and processes to effectively oversee and manage risks of fraud and corruption relating to the entity (</w:t>
      </w:r>
      <w:r w:rsidRPr="00492265">
        <w:rPr>
          <w:bCs/>
        </w:rPr>
        <w:t>s10(d)(</w:t>
      </w:r>
      <w:proofErr w:type="spellStart"/>
      <w:r w:rsidRPr="00492265">
        <w:rPr>
          <w:bCs/>
        </w:rPr>
        <w:t>i</w:t>
      </w:r>
      <w:proofErr w:type="spellEnd"/>
      <w:r w:rsidRPr="00492265">
        <w:rPr>
          <w:bCs/>
        </w:rPr>
        <w:t xml:space="preserve">) of the PGPA Rule </w:t>
      </w:r>
      <w:r w:rsidRPr="00492265">
        <w:t xml:space="preserve">and </w:t>
      </w:r>
      <w:r w:rsidRPr="00492265">
        <w:rPr>
          <w:bCs/>
        </w:rPr>
        <w:t>Policy Element 4.1</w:t>
      </w:r>
      <w:r w:rsidRPr="00492265">
        <w:t>).</w:t>
      </w:r>
    </w:p>
    <w:p w:rsidR="00492265" w:rsidRDefault="00492265" w:rsidP="00492265">
      <w:r w:rsidRPr="00492265">
        <w:t>For many entities, existing governance arrangements for managing risk may be appropriate for this purpose. For some entities, it may be appropriate to establish specific fraud and corruption risk governance arrangements.</w:t>
      </w:r>
    </w:p>
    <w:p w:rsidR="00492265" w:rsidRPr="00492265" w:rsidRDefault="00492265" w:rsidP="00492265">
      <w:pPr>
        <w:pStyle w:val="Heading2"/>
        <w:spacing w:after="240"/>
      </w:pPr>
      <w:r>
        <w:t xml:space="preserve">Step 3: </w:t>
      </w:r>
      <w:r w:rsidRPr="00492265">
        <w:t>Identify roles and responsibilities</w:t>
      </w:r>
    </w:p>
    <w:p w:rsidR="00492265" w:rsidRPr="00492265" w:rsidRDefault="00492265" w:rsidP="00492265">
      <w:r w:rsidRPr="00492265">
        <w:t>Identify and document the roles and responsibilities of specific officials, positions or internal governance bodies (</w:t>
      </w:r>
      <w:r w:rsidRPr="00492265">
        <w:rPr>
          <w:bCs/>
        </w:rPr>
        <w:t xml:space="preserve">s10(d)(ii) of the PGPA Rule </w:t>
      </w:r>
      <w:r w:rsidRPr="00492265">
        <w:t xml:space="preserve">and </w:t>
      </w:r>
      <w:r w:rsidRPr="00492265">
        <w:rPr>
          <w:bCs/>
        </w:rPr>
        <w:t>Policy Element 4.2</w:t>
      </w:r>
      <w:r w:rsidRPr="00492265">
        <w:t>).</w:t>
      </w:r>
    </w:p>
    <w:p w:rsidR="00492265" w:rsidRDefault="00492265" w:rsidP="00492265">
      <w:r w:rsidRPr="00492265">
        <w:t>This may includ</w:t>
      </w:r>
      <w:r>
        <w:t>e</w:t>
      </w:r>
      <w:r w:rsidRPr="00492265">
        <w:t xml:space="preserve"> but is not limited to the accountable authority, chief risk officer (if applicable) and senior executives.</w:t>
      </w:r>
    </w:p>
    <w:p w:rsidR="00492265" w:rsidRPr="00492265" w:rsidRDefault="00492265" w:rsidP="00492265">
      <w:pPr>
        <w:pStyle w:val="Heading2"/>
        <w:spacing w:after="240"/>
      </w:pPr>
      <w:r>
        <w:t xml:space="preserve">Step 4: </w:t>
      </w:r>
      <w:r w:rsidRPr="00492265">
        <w:t>Assess fraud and corruption risks at the enterprise level</w:t>
      </w:r>
    </w:p>
    <w:p w:rsidR="00492265" w:rsidRPr="00492265" w:rsidRDefault="00492265" w:rsidP="00492265">
      <w:r w:rsidRPr="00492265">
        <w:t xml:space="preserve">Undertake an assessment of your entity’s exposure to both fraud </w:t>
      </w:r>
      <w:r w:rsidRPr="00492265">
        <w:rPr>
          <w:bCs/>
        </w:rPr>
        <w:t>and corruption</w:t>
      </w:r>
      <w:r w:rsidRPr="00492265">
        <w:t>, which provides a landscape view of all activities, functions and expenditure areas across an entity and its operating environment (</w:t>
      </w:r>
      <w:r w:rsidRPr="00492265">
        <w:rPr>
          <w:bCs/>
        </w:rPr>
        <w:t xml:space="preserve">s10(a) of the PGPA Rule </w:t>
      </w:r>
      <w:r w:rsidRPr="00492265">
        <w:t xml:space="preserve">and </w:t>
      </w:r>
      <w:r w:rsidRPr="00492265">
        <w:rPr>
          <w:bCs/>
        </w:rPr>
        <w:t>Policy Element 1.1)</w:t>
      </w:r>
      <w:r w:rsidRPr="00492265">
        <w:t>.</w:t>
      </w:r>
    </w:p>
    <w:p w:rsidR="00492265" w:rsidRPr="00492265" w:rsidRDefault="00492265" w:rsidP="00492265">
      <w:r w:rsidRPr="00492265">
        <w:t xml:space="preserve">For some entities, this might involve considering fraud and corruption as part of their broader enterprise risk assessment. </w:t>
      </w:r>
    </w:p>
    <w:p w:rsidR="00492265" w:rsidRPr="00492265" w:rsidRDefault="00492265" w:rsidP="00492265">
      <w:pPr>
        <w:pStyle w:val="Heading2"/>
        <w:spacing w:after="240"/>
      </w:pPr>
      <w:r>
        <w:t xml:space="preserve">Step 5: </w:t>
      </w:r>
      <w:r w:rsidRPr="00492265">
        <w:t xml:space="preserve">Develop an enterprise-level fraud and corruption control plan </w:t>
      </w:r>
    </w:p>
    <w:p w:rsidR="00492265" w:rsidRPr="00492265" w:rsidRDefault="00492265" w:rsidP="00492265">
      <w:r w:rsidRPr="00492265">
        <w:t>Identify the mechanisms in place to prevent, detect and respond to fraud and corruption relating to the entity.</w:t>
      </w:r>
    </w:p>
    <w:p w:rsidR="00492265" w:rsidRPr="00492265" w:rsidRDefault="00492265" w:rsidP="00492265">
      <w:r w:rsidRPr="00492265">
        <w:t xml:space="preserve">The control plan should also identify the key controls and risk treatments to mitigate the risks of fraud and corruption across the entity’s different activities, functions or programs. </w:t>
      </w:r>
    </w:p>
    <w:p w:rsidR="00492265" w:rsidRPr="00492265" w:rsidRDefault="00492265" w:rsidP="00492265">
      <w:r w:rsidRPr="00492265">
        <w:t>Document these controls and treatments in a control plan (</w:t>
      </w:r>
      <w:r w:rsidRPr="00492265">
        <w:rPr>
          <w:bCs/>
        </w:rPr>
        <w:t xml:space="preserve">s10(b) of the PGPA Rule </w:t>
      </w:r>
      <w:r w:rsidRPr="00492265">
        <w:t xml:space="preserve">and </w:t>
      </w:r>
      <w:r w:rsidRPr="00492265">
        <w:rPr>
          <w:bCs/>
        </w:rPr>
        <w:t>Policy Element 2.1)</w:t>
      </w:r>
      <w:r w:rsidRPr="00492265">
        <w:t xml:space="preserve">. </w:t>
      </w:r>
    </w:p>
    <w:p w:rsidR="00492265" w:rsidRPr="00492265" w:rsidRDefault="00492265" w:rsidP="00492265">
      <w:pPr>
        <w:pStyle w:val="Heading2"/>
        <w:spacing w:after="240"/>
      </w:pPr>
      <w:r>
        <w:lastRenderedPageBreak/>
        <w:t xml:space="preserve">Step 6: </w:t>
      </w:r>
      <w:r w:rsidRPr="00492265">
        <w:t>Define and document the entity’s approach to managing fraud and corruption</w:t>
      </w:r>
    </w:p>
    <w:p w:rsidR="00492265" w:rsidRPr="00492265" w:rsidRDefault="00492265" w:rsidP="00492265">
      <w:r w:rsidRPr="00492265">
        <w:t>Via the established governance arrangements, define and document the entity’s:</w:t>
      </w:r>
    </w:p>
    <w:p w:rsidR="00000000" w:rsidRPr="00492265" w:rsidRDefault="00A07204" w:rsidP="00492265">
      <w:pPr>
        <w:pStyle w:val="ListParagraph"/>
        <w:numPr>
          <w:ilvl w:val="0"/>
          <w:numId w:val="2"/>
        </w:numPr>
      </w:pPr>
      <w:r w:rsidRPr="00492265">
        <w:t>overall commitment to managing and responding to fraud and corruption risks</w:t>
      </w:r>
    </w:p>
    <w:p w:rsidR="00000000" w:rsidRPr="00492265" w:rsidRDefault="00A07204" w:rsidP="00492265">
      <w:pPr>
        <w:pStyle w:val="ListParagraph"/>
        <w:numPr>
          <w:ilvl w:val="0"/>
          <w:numId w:val="2"/>
        </w:numPr>
      </w:pPr>
      <w:r w:rsidRPr="00492265">
        <w:t>risk appetite and tolerance statements relating to fraud and corruption</w:t>
      </w:r>
    </w:p>
    <w:p w:rsidR="00000000" w:rsidRPr="00492265" w:rsidRDefault="00A07204" w:rsidP="00492265">
      <w:pPr>
        <w:pStyle w:val="ListParagraph"/>
        <w:numPr>
          <w:ilvl w:val="0"/>
          <w:numId w:val="2"/>
        </w:numPr>
      </w:pPr>
      <w:r w:rsidRPr="00492265">
        <w:t>key roles and responsibilities of relevant officials and committees (where relevant)</w:t>
      </w:r>
    </w:p>
    <w:p w:rsidR="00492265" w:rsidRPr="00492265" w:rsidRDefault="00A07204" w:rsidP="00492265">
      <w:pPr>
        <w:pStyle w:val="ListParagraph"/>
        <w:numPr>
          <w:ilvl w:val="0"/>
          <w:numId w:val="2"/>
        </w:numPr>
      </w:pPr>
      <w:r w:rsidRPr="00492265">
        <w:t xml:space="preserve">arrangements for preventing, detecting, responding and reporting on fraud and </w:t>
      </w:r>
      <w:r w:rsidR="00492265" w:rsidRPr="00492265">
        <w:t>corruption</w:t>
      </w:r>
      <w:r w:rsidR="00492265">
        <w:t>.</w:t>
      </w:r>
    </w:p>
    <w:p w:rsidR="00492265" w:rsidRPr="00492265" w:rsidRDefault="00492265" w:rsidP="00492265">
      <w:r w:rsidRPr="00492265">
        <w:t>(</w:t>
      </w:r>
      <w:r w:rsidRPr="00492265">
        <w:rPr>
          <w:bCs/>
        </w:rPr>
        <w:t xml:space="preserve">s10(d)(iii) of the PGPA Rule </w:t>
      </w:r>
      <w:r w:rsidRPr="00492265">
        <w:t xml:space="preserve">and </w:t>
      </w:r>
      <w:r w:rsidRPr="00492265">
        <w:rPr>
          <w:bCs/>
        </w:rPr>
        <w:t>Policy Element 4.5)</w:t>
      </w:r>
    </w:p>
    <w:p w:rsidR="00492265" w:rsidRPr="00492265" w:rsidRDefault="00492265" w:rsidP="00492265">
      <w:pPr>
        <w:pStyle w:val="Heading2"/>
        <w:spacing w:after="240"/>
      </w:pPr>
      <w:r>
        <w:t xml:space="preserve">Step 7: </w:t>
      </w:r>
      <w:r w:rsidRPr="00492265">
        <w:t>Promote a culture of integrity, including through training and awareness raising</w:t>
      </w:r>
    </w:p>
    <w:p w:rsidR="00492265" w:rsidRPr="00492265" w:rsidRDefault="00492265" w:rsidP="00492265">
      <w:r w:rsidRPr="00492265">
        <w:t>Ensure officials at all levels are aware of their responsibilities for fraud and corruption risk management.</w:t>
      </w:r>
    </w:p>
    <w:p w:rsidR="00492265" w:rsidRPr="00492265" w:rsidRDefault="00492265" w:rsidP="00492265">
      <w:r w:rsidRPr="00492265">
        <w:t>Promote a culture of integrity, including requiring officials to undertake training in integrity, fraud and corruption awareness on induction and more regularly as appropriate (</w:t>
      </w:r>
      <w:r w:rsidRPr="00492265">
        <w:rPr>
          <w:bCs/>
        </w:rPr>
        <w:t>s10(e)(</w:t>
      </w:r>
      <w:proofErr w:type="spellStart"/>
      <w:r w:rsidRPr="00492265">
        <w:rPr>
          <w:bCs/>
        </w:rPr>
        <w:t>i</w:t>
      </w:r>
      <w:proofErr w:type="spellEnd"/>
      <w:r w:rsidRPr="00492265">
        <w:rPr>
          <w:bCs/>
        </w:rPr>
        <w:t>) of the PGPA Rule and Policy Elements 5.1 and 5.3)</w:t>
      </w:r>
      <w:r w:rsidRPr="00492265">
        <w:t>.</w:t>
      </w:r>
    </w:p>
    <w:p w:rsidR="00492265" w:rsidRPr="00492265" w:rsidRDefault="00492265" w:rsidP="00492265">
      <w:pPr>
        <w:pStyle w:val="Heading2"/>
        <w:spacing w:after="240"/>
      </w:pPr>
      <w:r w:rsidRPr="00492265">
        <w:t xml:space="preserve">Step 8: Determine level of capability needed </w:t>
      </w:r>
    </w:p>
    <w:p w:rsidR="00492265" w:rsidRPr="00492265" w:rsidRDefault="00492265" w:rsidP="00492265">
      <w:r w:rsidRPr="00492265">
        <w:t>Assess the entity’s current level of capability for managing fraud and corruption.</w:t>
      </w:r>
    </w:p>
    <w:p w:rsidR="00492265" w:rsidRPr="00492265" w:rsidRDefault="00492265" w:rsidP="00492265">
      <w:r w:rsidRPr="00492265">
        <w:t>Via the established governance arrangements, determine whether the current mechanisms and level of capability is reasonable and appropriate, having regard to the entity’s size and operations and the nature and complexity of the entity’s fraud and corruption risks</w:t>
      </w:r>
    </w:p>
    <w:p w:rsidR="00492265" w:rsidRPr="00492265" w:rsidRDefault="00492265" w:rsidP="00492265">
      <w:r w:rsidRPr="00492265">
        <w:t>(</w:t>
      </w:r>
      <w:r w:rsidRPr="00492265">
        <w:rPr>
          <w:bCs/>
        </w:rPr>
        <w:t>s10(d)(</w:t>
      </w:r>
      <w:proofErr w:type="spellStart"/>
      <w:r w:rsidRPr="00492265">
        <w:rPr>
          <w:bCs/>
        </w:rPr>
        <w:t>i</w:t>
      </w:r>
      <w:proofErr w:type="spellEnd"/>
      <w:r w:rsidRPr="00492265">
        <w:rPr>
          <w:bCs/>
        </w:rPr>
        <w:t>) of the PGPA Rule and Policy Element 4.3)</w:t>
      </w:r>
      <w:r w:rsidRPr="00492265">
        <w:t>.</w:t>
      </w:r>
    </w:p>
    <w:p w:rsidR="00492265" w:rsidRPr="00492265" w:rsidRDefault="00492265" w:rsidP="00492265">
      <w:pPr>
        <w:pStyle w:val="Heading2"/>
        <w:spacing w:after="240"/>
      </w:pPr>
      <w:r w:rsidRPr="00492265">
        <w:t>Step 9: Establish appropriate mechanisms (as required) to prevent, detect and respond to fraud and corruption related to the entity.</w:t>
      </w:r>
    </w:p>
    <w:p w:rsidR="00492265" w:rsidRPr="00492265" w:rsidRDefault="00492265" w:rsidP="00492265">
      <w:r w:rsidRPr="00492265">
        <w:t>Establish a system of internal control for fraud and corruption that is fit for purpose to protect the entity from those risks. This should include proportionate yet effective prevention, detection, investigation and other response mechanisms, with a focus on prevention (</w:t>
      </w:r>
      <w:r w:rsidRPr="00492265">
        <w:rPr>
          <w:bCs/>
        </w:rPr>
        <w:t>s10(d)(e) and s10(d)(f) of the PGPA Rule and Policy Elements 5, 6 and 7).</w:t>
      </w:r>
    </w:p>
    <w:p w:rsidR="00492265" w:rsidRPr="00492265" w:rsidRDefault="00492265" w:rsidP="00492265">
      <w:pPr>
        <w:pStyle w:val="Heading2"/>
        <w:spacing w:after="240"/>
      </w:pPr>
      <w:r w:rsidRPr="00492265">
        <w:t>Step 10: Establish appropriate mechanisms for recording and reporting incidents of fraud or corruption or suspected fraud or corruption</w:t>
      </w:r>
    </w:p>
    <w:p w:rsidR="00492265" w:rsidRPr="00492265" w:rsidRDefault="00492265" w:rsidP="00492265">
      <w:r w:rsidRPr="00492265">
        <w:t>Establish proportionate yet effective mechanisms for recording and reporting incidents of fraud or corruption or suspected fraud or corruption related to the entity. Also establish a feedback loop of internal reporting to maintain appropriate oversight over mechanisms for preventing, detecting and responding to fraud and corruption (</w:t>
      </w:r>
      <w:r w:rsidRPr="00492265">
        <w:rPr>
          <w:bCs/>
        </w:rPr>
        <w:t>s10(d)(f) of the PGPA Rule and Policy Element 8).</w:t>
      </w:r>
    </w:p>
    <w:p w:rsidR="00492265" w:rsidRPr="00492265" w:rsidRDefault="00492265" w:rsidP="00492265"/>
    <w:p w:rsidR="00492265" w:rsidRPr="00492265" w:rsidRDefault="00492265" w:rsidP="00492265">
      <w:pPr>
        <w:pStyle w:val="Heading2"/>
        <w:spacing w:after="240"/>
      </w:pPr>
      <w:r w:rsidRPr="00492265">
        <w:lastRenderedPageBreak/>
        <w:t>Step 11: Establish processes to periodically review the effectiveness of controls</w:t>
      </w:r>
    </w:p>
    <w:p w:rsidR="00492265" w:rsidRPr="00492265" w:rsidRDefault="00492265" w:rsidP="00492265">
      <w:r w:rsidRPr="00492265">
        <w:t xml:space="preserve">Establish processes to review existing fraud and corruption controls to determine whether they are operating effectively. </w:t>
      </w:r>
    </w:p>
    <w:p w:rsidR="00492265" w:rsidRPr="00492265" w:rsidRDefault="00492265" w:rsidP="00492265">
      <w:r w:rsidRPr="00492265">
        <w:t>To ensure these reviews are appropriate, cost-effective and proportionate to the entity’s risks, focus effort and resources on the most critical controls related to the entity’s highest risk activities, functions and programs ((</w:t>
      </w:r>
      <w:r w:rsidRPr="00492265">
        <w:rPr>
          <w:bCs/>
        </w:rPr>
        <w:t xml:space="preserve">s10(c) of the PGPA Rule </w:t>
      </w:r>
      <w:r w:rsidRPr="00492265">
        <w:t xml:space="preserve">and </w:t>
      </w:r>
      <w:r w:rsidRPr="00492265">
        <w:rPr>
          <w:bCs/>
        </w:rPr>
        <w:t>Policy Element 3)</w:t>
      </w:r>
      <w:r w:rsidRPr="00492265">
        <w:t>.</w:t>
      </w:r>
    </w:p>
    <w:p w:rsidR="00492265" w:rsidRPr="00492265" w:rsidRDefault="00492265" w:rsidP="00492265">
      <w:pPr>
        <w:pStyle w:val="Heading2"/>
        <w:spacing w:after="240"/>
      </w:pPr>
      <w:r w:rsidRPr="00492265">
        <w:t xml:space="preserve">Step 12: Identify higher risk activities, functions or programs  </w:t>
      </w:r>
    </w:p>
    <w:p w:rsidR="00492265" w:rsidRPr="00492265" w:rsidRDefault="00492265" w:rsidP="00492265">
      <w:r w:rsidRPr="00492265">
        <w:t>Identify which of your entity’s activities, functions or programs are at highest risk of fraud and corruption.</w:t>
      </w:r>
    </w:p>
    <w:p w:rsidR="00492265" w:rsidRPr="00492265" w:rsidRDefault="00492265" w:rsidP="00492265">
      <w:r w:rsidRPr="00492265">
        <w:t>Provide the results of the activity to the officials responsible for managing risks of fraud and corruption to decide whether it is appropriate to undertake targeted fraud and corruption risk assessment and control activities in these areas (</w:t>
      </w:r>
      <w:r w:rsidRPr="00492265">
        <w:rPr>
          <w:bCs/>
        </w:rPr>
        <w:t xml:space="preserve">s10(a) of the PGPA Rule </w:t>
      </w:r>
      <w:r w:rsidRPr="00492265">
        <w:t xml:space="preserve">and </w:t>
      </w:r>
      <w:r w:rsidRPr="00492265">
        <w:rPr>
          <w:bCs/>
        </w:rPr>
        <w:t>Policy Element 1.2)</w:t>
      </w:r>
      <w:r w:rsidRPr="00492265">
        <w:t>.</w:t>
      </w:r>
    </w:p>
    <w:p w:rsidR="00492265" w:rsidRPr="00492265" w:rsidRDefault="00492265" w:rsidP="00492265">
      <w:r w:rsidRPr="00492265">
        <w:t>Document these decisions and proceed with any further activities as directed.</w:t>
      </w:r>
      <w:bookmarkStart w:id="0" w:name="_GoBack"/>
      <w:bookmarkEnd w:id="0"/>
    </w:p>
    <w:p w:rsidR="00492265" w:rsidRPr="00492265" w:rsidRDefault="00492265" w:rsidP="00492265"/>
    <w:p w:rsidR="00492265" w:rsidRPr="00492265" w:rsidRDefault="00492265" w:rsidP="00492265"/>
    <w:p w:rsidR="00492265" w:rsidRPr="00492265" w:rsidRDefault="00492265" w:rsidP="00492265"/>
    <w:sectPr w:rsidR="00492265" w:rsidRPr="0049226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78355E"/>
    <w:multiLevelType w:val="hybridMultilevel"/>
    <w:tmpl w:val="0E566E9E"/>
    <w:lvl w:ilvl="0" w:tplc="3CF84BF8">
      <w:start w:val="1"/>
      <w:numFmt w:val="bullet"/>
      <w:lvlText w:val="•"/>
      <w:lvlJc w:val="left"/>
      <w:pPr>
        <w:tabs>
          <w:tab w:val="num" w:pos="720"/>
        </w:tabs>
        <w:ind w:left="720" w:hanging="360"/>
      </w:pPr>
      <w:rPr>
        <w:rFonts w:ascii="Arial" w:hAnsi="Arial" w:hint="default"/>
      </w:rPr>
    </w:lvl>
    <w:lvl w:ilvl="1" w:tplc="C784CC10" w:tentative="1">
      <w:start w:val="1"/>
      <w:numFmt w:val="bullet"/>
      <w:lvlText w:val="•"/>
      <w:lvlJc w:val="left"/>
      <w:pPr>
        <w:tabs>
          <w:tab w:val="num" w:pos="1440"/>
        </w:tabs>
        <w:ind w:left="1440" w:hanging="360"/>
      </w:pPr>
      <w:rPr>
        <w:rFonts w:ascii="Arial" w:hAnsi="Arial" w:hint="default"/>
      </w:rPr>
    </w:lvl>
    <w:lvl w:ilvl="2" w:tplc="2F1E1BAE" w:tentative="1">
      <w:start w:val="1"/>
      <w:numFmt w:val="bullet"/>
      <w:lvlText w:val="•"/>
      <w:lvlJc w:val="left"/>
      <w:pPr>
        <w:tabs>
          <w:tab w:val="num" w:pos="2160"/>
        </w:tabs>
        <w:ind w:left="2160" w:hanging="360"/>
      </w:pPr>
      <w:rPr>
        <w:rFonts w:ascii="Arial" w:hAnsi="Arial" w:hint="default"/>
      </w:rPr>
    </w:lvl>
    <w:lvl w:ilvl="3" w:tplc="648E15BA" w:tentative="1">
      <w:start w:val="1"/>
      <w:numFmt w:val="bullet"/>
      <w:lvlText w:val="•"/>
      <w:lvlJc w:val="left"/>
      <w:pPr>
        <w:tabs>
          <w:tab w:val="num" w:pos="2880"/>
        </w:tabs>
        <w:ind w:left="2880" w:hanging="360"/>
      </w:pPr>
      <w:rPr>
        <w:rFonts w:ascii="Arial" w:hAnsi="Arial" w:hint="default"/>
      </w:rPr>
    </w:lvl>
    <w:lvl w:ilvl="4" w:tplc="D10E9854" w:tentative="1">
      <w:start w:val="1"/>
      <w:numFmt w:val="bullet"/>
      <w:lvlText w:val="•"/>
      <w:lvlJc w:val="left"/>
      <w:pPr>
        <w:tabs>
          <w:tab w:val="num" w:pos="3600"/>
        </w:tabs>
        <w:ind w:left="3600" w:hanging="360"/>
      </w:pPr>
      <w:rPr>
        <w:rFonts w:ascii="Arial" w:hAnsi="Arial" w:hint="default"/>
      </w:rPr>
    </w:lvl>
    <w:lvl w:ilvl="5" w:tplc="46208C86" w:tentative="1">
      <w:start w:val="1"/>
      <w:numFmt w:val="bullet"/>
      <w:lvlText w:val="•"/>
      <w:lvlJc w:val="left"/>
      <w:pPr>
        <w:tabs>
          <w:tab w:val="num" w:pos="4320"/>
        </w:tabs>
        <w:ind w:left="4320" w:hanging="360"/>
      </w:pPr>
      <w:rPr>
        <w:rFonts w:ascii="Arial" w:hAnsi="Arial" w:hint="default"/>
      </w:rPr>
    </w:lvl>
    <w:lvl w:ilvl="6" w:tplc="863C20F2" w:tentative="1">
      <w:start w:val="1"/>
      <w:numFmt w:val="bullet"/>
      <w:lvlText w:val="•"/>
      <w:lvlJc w:val="left"/>
      <w:pPr>
        <w:tabs>
          <w:tab w:val="num" w:pos="5040"/>
        </w:tabs>
        <w:ind w:left="5040" w:hanging="360"/>
      </w:pPr>
      <w:rPr>
        <w:rFonts w:ascii="Arial" w:hAnsi="Arial" w:hint="default"/>
      </w:rPr>
    </w:lvl>
    <w:lvl w:ilvl="7" w:tplc="3F203AB6" w:tentative="1">
      <w:start w:val="1"/>
      <w:numFmt w:val="bullet"/>
      <w:lvlText w:val="•"/>
      <w:lvlJc w:val="left"/>
      <w:pPr>
        <w:tabs>
          <w:tab w:val="num" w:pos="5760"/>
        </w:tabs>
        <w:ind w:left="5760" w:hanging="360"/>
      </w:pPr>
      <w:rPr>
        <w:rFonts w:ascii="Arial" w:hAnsi="Arial" w:hint="default"/>
      </w:rPr>
    </w:lvl>
    <w:lvl w:ilvl="8" w:tplc="B0CC2408"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34D5083B"/>
    <w:multiLevelType w:val="hybridMultilevel"/>
    <w:tmpl w:val="D8E8BA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2265"/>
    <w:rsid w:val="000918A4"/>
    <w:rsid w:val="00492265"/>
    <w:rsid w:val="007C1645"/>
    <w:rsid w:val="00A072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87EC2E"/>
  <w15:chartTrackingRefBased/>
  <w15:docId w15:val="{9CCCF139-F4F4-4D7B-90F1-C7E1130C8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9226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49226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92265"/>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492265"/>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semiHidden/>
    <w:unhideWhenUsed/>
    <w:rsid w:val="00492265"/>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ListParagraph">
    <w:name w:val="List Paragraph"/>
    <w:basedOn w:val="Normal"/>
    <w:uiPriority w:val="34"/>
    <w:qFormat/>
    <w:rsid w:val="0049226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588616">
      <w:bodyDiv w:val="1"/>
      <w:marLeft w:val="0"/>
      <w:marRight w:val="0"/>
      <w:marTop w:val="0"/>
      <w:marBottom w:val="0"/>
      <w:divBdr>
        <w:top w:val="none" w:sz="0" w:space="0" w:color="auto"/>
        <w:left w:val="none" w:sz="0" w:space="0" w:color="auto"/>
        <w:bottom w:val="none" w:sz="0" w:space="0" w:color="auto"/>
        <w:right w:val="none" w:sz="0" w:space="0" w:color="auto"/>
      </w:divBdr>
    </w:div>
    <w:div w:id="175729321">
      <w:bodyDiv w:val="1"/>
      <w:marLeft w:val="0"/>
      <w:marRight w:val="0"/>
      <w:marTop w:val="0"/>
      <w:marBottom w:val="0"/>
      <w:divBdr>
        <w:top w:val="none" w:sz="0" w:space="0" w:color="auto"/>
        <w:left w:val="none" w:sz="0" w:space="0" w:color="auto"/>
        <w:bottom w:val="none" w:sz="0" w:space="0" w:color="auto"/>
        <w:right w:val="none" w:sz="0" w:space="0" w:color="auto"/>
      </w:divBdr>
    </w:div>
    <w:div w:id="307630698">
      <w:bodyDiv w:val="1"/>
      <w:marLeft w:val="0"/>
      <w:marRight w:val="0"/>
      <w:marTop w:val="0"/>
      <w:marBottom w:val="0"/>
      <w:divBdr>
        <w:top w:val="none" w:sz="0" w:space="0" w:color="auto"/>
        <w:left w:val="none" w:sz="0" w:space="0" w:color="auto"/>
        <w:bottom w:val="none" w:sz="0" w:space="0" w:color="auto"/>
        <w:right w:val="none" w:sz="0" w:space="0" w:color="auto"/>
      </w:divBdr>
    </w:div>
    <w:div w:id="537938806">
      <w:bodyDiv w:val="1"/>
      <w:marLeft w:val="0"/>
      <w:marRight w:val="0"/>
      <w:marTop w:val="0"/>
      <w:marBottom w:val="0"/>
      <w:divBdr>
        <w:top w:val="none" w:sz="0" w:space="0" w:color="auto"/>
        <w:left w:val="none" w:sz="0" w:space="0" w:color="auto"/>
        <w:bottom w:val="none" w:sz="0" w:space="0" w:color="auto"/>
        <w:right w:val="none" w:sz="0" w:space="0" w:color="auto"/>
      </w:divBdr>
    </w:div>
    <w:div w:id="735274461">
      <w:bodyDiv w:val="1"/>
      <w:marLeft w:val="0"/>
      <w:marRight w:val="0"/>
      <w:marTop w:val="0"/>
      <w:marBottom w:val="0"/>
      <w:divBdr>
        <w:top w:val="none" w:sz="0" w:space="0" w:color="auto"/>
        <w:left w:val="none" w:sz="0" w:space="0" w:color="auto"/>
        <w:bottom w:val="none" w:sz="0" w:space="0" w:color="auto"/>
        <w:right w:val="none" w:sz="0" w:space="0" w:color="auto"/>
      </w:divBdr>
    </w:div>
    <w:div w:id="910239440">
      <w:bodyDiv w:val="1"/>
      <w:marLeft w:val="0"/>
      <w:marRight w:val="0"/>
      <w:marTop w:val="0"/>
      <w:marBottom w:val="0"/>
      <w:divBdr>
        <w:top w:val="none" w:sz="0" w:space="0" w:color="auto"/>
        <w:left w:val="none" w:sz="0" w:space="0" w:color="auto"/>
        <w:bottom w:val="none" w:sz="0" w:space="0" w:color="auto"/>
        <w:right w:val="none" w:sz="0" w:space="0" w:color="auto"/>
      </w:divBdr>
    </w:div>
    <w:div w:id="1076592358">
      <w:bodyDiv w:val="1"/>
      <w:marLeft w:val="0"/>
      <w:marRight w:val="0"/>
      <w:marTop w:val="0"/>
      <w:marBottom w:val="0"/>
      <w:divBdr>
        <w:top w:val="none" w:sz="0" w:space="0" w:color="auto"/>
        <w:left w:val="none" w:sz="0" w:space="0" w:color="auto"/>
        <w:bottom w:val="none" w:sz="0" w:space="0" w:color="auto"/>
        <w:right w:val="none" w:sz="0" w:space="0" w:color="auto"/>
      </w:divBdr>
    </w:div>
    <w:div w:id="1256325381">
      <w:bodyDiv w:val="1"/>
      <w:marLeft w:val="0"/>
      <w:marRight w:val="0"/>
      <w:marTop w:val="0"/>
      <w:marBottom w:val="0"/>
      <w:divBdr>
        <w:top w:val="none" w:sz="0" w:space="0" w:color="auto"/>
        <w:left w:val="none" w:sz="0" w:space="0" w:color="auto"/>
        <w:bottom w:val="none" w:sz="0" w:space="0" w:color="auto"/>
        <w:right w:val="none" w:sz="0" w:space="0" w:color="auto"/>
      </w:divBdr>
      <w:divsChild>
        <w:div w:id="102966288">
          <w:marLeft w:val="274"/>
          <w:marRight w:val="0"/>
          <w:marTop w:val="0"/>
          <w:marBottom w:val="0"/>
          <w:divBdr>
            <w:top w:val="none" w:sz="0" w:space="0" w:color="auto"/>
            <w:left w:val="none" w:sz="0" w:space="0" w:color="auto"/>
            <w:bottom w:val="none" w:sz="0" w:space="0" w:color="auto"/>
            <w:right w:val="none" w:sz="0" w:space="0" w:color="auto"/>
          </w:divBdr>
        </w:div>
        <w:div w:id="583878748">
          <w:marLeft w:val="274"/>
          <w:marRight w:val="0"/>
          <w:marTop w:val="0"/>
          <w:marBottom w:val="0"/>
          <w:divBdr>
            <w:top w:val="none" w:sz="0" w:space="0" w:color="auto"/>
            <w:left w:val="none" w:sz="0" w:space="0" w:color="auto"/>
            <w:bottom w:val="none" w:sz="0" w:space="0" w:color="auto"/>
            <w:right w:val="none" w:sz="0" w:space="0" w:color="auto"/>
          </w:divBdr>
        </w:div>
        <w:div w:id="611326516">
          <w:marLeft w:val="274"/>
          <w:marRight w:val="0"/>
          <w:marTop w:val="0"/>
          <w:marBottom w:val="0"/>
          <w:divBdr>
            <w:top w:val="none" w:sz="0" w:space="0" w:color="auto"/>
            <w:left w:val="none" w:sz="0" w:space="0" w:color="auto"/>
            <w:bottom w:val="none" w:sz="0" w:space="0" w:color="auto"/>
            <w:right w:val="none" w:sz="0" w:space="0" w:color="auto"/>
          </w:divBdr>
        </w:div>
        <w:div w:id="2089499731">
          <w:marLeft w:val="274"/>
          <w:marRight w:val="0"/>
          <w:marTop w:val="0"/>
          <w:marBottom w:val="0"/>
          <w:divBdr>
            <w:top w:val="none" w:sz="0" w:space="0" w:color="auto"/>
            <w:left w:val="none" w:sz="0" w:space="0" w:color="auto"/>
            <w:bottom w:val="none" w:sz="0" w:space="0" w:color="auto"/>
            <w:right w:val="none" w:sz="0" w:space="0" w:color="auto"/>
          </w:divBdr>
        </w:div>
      </w:divsChild>
    </w:div>
    <w:div w:id="1390766583">
      <w:bodyDiv w:val="1"/>
      <w:marLeft w:val="0"/>
      <w:marRight w:val="0"/>
      <w:marTop w:val="0"/>
      <w:marBottom w:val="0"/>
      <w:divBdr>
        <w:top w:val="none" w:sz="0" w:space="0" w:color="auto"/>
        <w:left w:val="none" w:sz="0" w:space="0" w:color="auto"/>
        <w:bottom w:val="none" w:sz="0" w:space="0" w:color="auto"/>
        <w:right w:val="none" w:sz="0" w:space="0" w:color="auto"/>
      </w:divBdr>
    </w:div>
    <w:div w:id="1520309810">
      <w:bodyDiv w:val="1"/>
      <w:marLeft w:val="0"/>
      <w:marRight w:val="0"/>
      <w:marTop w:val="0"/>
      <w:marBottom w:val="0"/>
      <w:divBdr>
        <w:top w:val="none" w:sz="0" w:space="0" w:color="auto"/>
        <w:left w:val="none" w:sz="0" w:space="0" w:color="auto"/>
        <w:bottom w:val="none" w:sz="0" w:space="0" w:color="auto"/>
        <w:right w:val="none" w:sz="0" w:space="0" w:color="auto"/>
      </w:divBdr>
    </w:div>
    <w:div w:id="1793792168">
      <w:bodyDiv w:val="1"/>
      <w:marLeft w:val="0"/>
      <w:marRight w:val="0"/>
      <w:marTop w:val="0"/>
      <w:marBottom w:val="0"/>
      <w:divBdr>
        <w:top w:val="none" w:sz="0" w:space="0" w:color="auto"/>
        <w:left w:val="none" w:sz="0" w:space="0" w:color="auto"/>
        <w:bottom w:val="none" w:sz="0" w:space="0" w:color="auto"/>
        <w:right w:val="none" w:sz="0" w:space="0" w:color="auto"/>
      </w:divBdr>
    </w:div>
    <w:div w:id="2039430990">
      <w:bodyDiv w:val="1"/>
      <w:marLeft w:val="0"/>
      <w:marRight w:val="0"/>
      <w:marTop w:val="0"/>
      <w:marBottom w:val="0"/>
      <w:divBdr>
        <w:top w:val="none" w:sz="0" w:space="0" w:color="auto"/>
        <w:left w:val="none" w:sz="0" w:space="0" w:color="auto"/>
        <w:bottom w:val="none" w:sz="0" w:space="0" w:color="auto"/>
        <w:right w:val="none" w:sz="0" w:space="0" w:color="auto"/>
      </w:divBdr>
    </w:div>
    <w:div w:id="2047678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3</Pages>
  <Words>835</Words>
  <Characters>4761</Characters>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2024-04-12T09:20:00Z</dcterms:created>
  <dcterms:modified xsi:type="dcterms:W3CDTF">2024-04-12T09:37:00Z</dcterms:modified>
</cp:coreProperties>
</file>